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62  </w:t>
      </w:r>
      <w:r>
        <w:rPr>
          <w:b/>
          <w:i/>
          <w:sz w:val="28"/>
        </w:rPr>
        <w:tab/>
      </w:r>
      <w:r>
        <w:rPr>
          <w:rFonts w:cs="Arial"/>
          <w:b/>
          <w:sz w:val="24"/>
        </w:rPr>
        <w:t>S2-2</w:t>
      </w:r>
      <w:r>
        <w:rPr>
          <w:rFonts w:hint="eastAsia" w:cs="Arial"/>
          <w:b/>
          <w:sz w:val="24"/>
          <w:lang w:val="en-US" w:eastAsia="zh-CN"/>
        </w:rPr>
        <w:t>403998</w:t>
      </w:r>
      <w:bookmarkStart w:id="9" w:name="_GoBack"/>
      <w:bookmarkEnd w:id="9"/>
    </w:p>
    <w:p>
      <w:pPr>
        <w:pStyle w:val="84"/>
        <w:outlineLvl w:val="0"/>
        <w:rPr>
          <w:b/>
          <w:sz w:val="24"/>
        </w:rPr>
      </w:pPr>
      <w:r>
        <w:rPr>
          <w:rFonts w:hint="eastAsia" w:cs="Arial"/>
          <w:b/>
          <w:sz w:val="24"/>
          <w:lang w:val="en-US" w:eastAsia="zh-CN"/>
        </w:rPr>
        <w:t>15</w:t>
      </w:r>
      <w:r>
        <w:rPr>
          <w:rFonts w:hint="eastAsia" w:cs="Arial"/>
          <w:b/>
          <w:sz w:val="24"/>
        </w:rPr>
        <w:t xml:space="preserve"> </w:t>
      </w:r>
      <w:r>
        <w:rPr>
          <w:rFonts w:hint="eastAsia" w:cs="Arial"/>
          <w:b/>
          <w:sz w:val="24"/>
          <w:lang w:val="en-US" w:eastAsia="zh-CN"/>
        </w:rPr>
        <w:t>April</w:t>
      </w:r>
      <w:r>
        <w:rPr>
          <w:rFonts w:hint="eastAsia" w:cs="Arial"/>
          <w:b/>
          <w:sz w:val="24"/>
        </w:rPr>
        <w:t>-1</w:t>
      </w:r>
      <w:r>
        <w:rPr>
          <w:rFonts w:hint="eastAsia" w:cs="Arial"/>
          <w:b/>
          <w:sz w:val="24"/>
          <w:lang w:val="en-US" w:eastAsia="zh-CN"/>
        </w:rPr>
        <w:t>9</w:t>
      </w:r>
      <w:r>
        <w:rPr>
          <w:rFonts w:hint="eastAsia" w:cs="Arial"/>
          <w:b/>
          <w:sz w:val="24"/>
        </w:rPr>
        <w:t xml:space="preserve"> </w:t>
      </w:r>
      <w:r>
        <w:rPr>
          <w:rFonts w:hint="eastAsia" w:cs="Arial"/>
          <w:b/>
          <w:sz w:val="24"/>
          <w:lang w:val="en-US" w:eastAsia="zh-CN"/>
        </w:rPr>
        <w:t>April</w:t>
      </w:r>
      <w:r>
        <w:rPr>
          <w:rFonts w:hint="eastAsia" w:cs="Arial"/>
          <w:b/>
          <w:sz w:val="24"/>
        </w:rPr>
        <w:t xml:space="preserve"> 2024</w:t>
      </w:r>
      <w:r>
        <w:rPr>
          <w:rFonts w:hint="eastAsia" w:cs="Arial"/>
          <w:b/>
          <w:sz w:val="24"/>
          <w:lang w:val="en-US" w:eastAsia="zh-CN"/>
        </w:rPr>
        <w:t>, Changsha,China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27" w:hRule="atLeast"/>
        </w:trP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1075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b/>
                <w:bCs/>
                <w:sz w:val="28"/>
                <w:lang w:val="en-US" w:eastAsia="zh-CN"/>
              </w:rPr>
            </w:pPr>
            <w:r>
              <w:rPr>
                <w:rFonts w:hint="eastAsia"/>
                <w:b/>
                <w:bCs/>
                <w:sz w:val="28"/>
                <w:lang w:val="en-US" w:eastAsia="zh-CN"/>
              </w:rPr>
              <w:t>17.11.0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Wrong service operation used in prepared analytics subscription transfer</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09" w:hRule="atLeast"/>
        </w:trP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4-3-30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The service operation used in step 0b of analytics subscription transfer in Figure 6.1B.2.3-1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sz w:val="20"/>
                <w:szCs w:val="20"/>
                <w:lang w:val="en-US" w:eastAsia="zh-CN"/>
              </w:rPr>
            </w:pPr>
            <w:r>
              <w:rPr>
                <w:rFonts w:hint="eastAsia" w:ascii="Arial" w:hAnsi="Arial" w:cs="Arial"/>
                <w:sz w:val="20"/>
                <w:szCs w:val="20"/>
                <w:lang w:val="en-US" w:eastAsia="zh-CN"/>
              </w:rPr>
              <w:t>Change the service operation used in figure from Nsmf_EventExposure to Namf_EventExposure.</w:t>
            </w:r>
          </w:p>
          <w:p>
            <w:pPr>
              <w:spacing w:before="60" w:after="0"/>
              <w:rPr>
                <w:rFonts w:hint="default" w:ascii="Arial" w:hAnsi="Arial" w:cs="Arial"/>
                <w:sz w:val="20"/>
                <w:szCs w:val="20"/>
                <w:lang w:val="en-US" w:eastAsia="zh-CN"/>
              </w:rPr>
            </w:pPr>
            <w:r>
              <w:rPr>
                <w:rFonts w:hint="eastAsia" w:ascii="Arial" w:hAnsi="Arial" w:cs="Arial"/>
                <w:sz w:val="20"/>
                <w:szCs w:val="20"/>
                <w:lang w:val="en-US" w:eastAsia="zh-CN"/>
              </w:rPr>
              <w:t xml:space="preserve">Change the name of Figure 6.1B.2.3-1 to </w:t>
            </w:r>
            <w:r>
              <w:rPr>
                <w:rFonts w:hint="default" w:ascii="Arial" w:hAnsi="Arial" w:cs="Arial"/>
                <w:sz w:val="20"/>
                <w:szCs w:val="20"/>
                <w:lang w:val="en-US" w:eastAsia="zh-CN"/>
              </w:rPr>
              <w:t>‘</w:t>
            </w:r>
            <w:r>
              <w:rPr>
                <w:rFonts w:hint="eastAsia" w:ascii="Arial" w:hAnsi="Arial" w:cs="Arial"/>
                <w:sz w:val="20"/>
                <w:szCs w:val="20"/>
                <w:lang w:val="en-US" w:eastAsia="zh-CN"/>
              </w:rPr>
              <w:t>prepared analytics subscription transfer</w:t>
            </w:r>
            <w:r>
              <w:rPr>
                <w:rFonts w:hint="default" w:ascii="Arial" w:hAnsi="Arial" w:cs="Arial"/>
                <w:sz w:val="20"/>
                <w:szCs w:val="20"/>
                <w:lang w:val="en-US" w:eastAsia="zh-CN"/>
              </w:rPr>
              <w:t>’</w:t>
            </w:r>
            <w:r>
              <w:rPr>
                <w:rFonts w:hint="eastAsia" w:ascii="Arial" w:hAnsi="Arial" w:cs="Arial"/>
                <w:sz w:val="20"/>
                <w:szCs w:val="20"/>
                <w:lang w:val="en-US" w:eastAsia="zh-CN"/>
              </w:rPr>
              <w:t xml:space="preserve"> to align with other places in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rFonts w:hint="default" w:eastAsia="宋体"/>
                <w:b/>
                <w:i/>
                <w:sz w:val="8"/>
                <w:szCs w:val="8"/>
                <w:lang w:val="en-US" w:eastAsia="zh-CN"/>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 and mis-operation could happen.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6.1B.2.3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36191691"/>
      <w:bookmarkStart w:id="3" w:name="_Toc47592409"/>
      <w:bookmarkStart w:id="4" w:name="_Toc83303923"/>
      <w:bookmarkStart w:id="5" w:name="_Toc51834490"/>
      <w:bookmarkStart w:id="6" w:name="_Toc45192777"/>
      <w:bookmarkStart w:id="7" w:name="_Toc20203939"/>
      <w:r>
        <w:rPr>
          <w:color w:val="FF0000"/>
        </w:rPr>
        <w:t xml:space="preserve">* * * Start of </w:t>
      </w:r>
      <w:r>
        <w:rPr>
          <w:rFonts w:hint="eastAsia"/>
          <w:color w:val="FF0000"/>
          <w:lang w:val="en-US" w:eastAsia="zh-CN"/>
        </w:rPr>
        <w:t>1</w:t>
      </w:r>
      <w:r>
        <w:rPr>
          <w:rFonts w:hint="eastAsia"/>
          <w:color w:val="FF0000"/>
          <w:vertAlign w:val="superscript"/>
          <w:lang w:val="en-US" w:eastAsia="zh-CN"/>
        </w:rPr>
        <w:t>st</w:t>
      </w:r>
      <w:r>
        <w:rPr>
          <w:rFonts w:hint="eastAsia"/>
          <w:color w:val="FF0000"/>
          <w:lang w:val="en-US" w:eastAsia="zh-CN"/>
        </w:rPr>
        <w:t xml:space="preserve"> </w:t>
      </w:r>
      <w:r>
        <w:rPr>
          <w:color w:val="FF0000"/>
        </w:rPr>
        <w:t xml:space="preserve">Change * * * </w:t>
      </w:r>
      <w:bookmarkEnd w:id="1"/>
      <w:bookmarkEnd w:id="2"/>
      <w:bookmarkEnd w:id="3"/>
      <w:bookmarkEnd w:id="4"/>
      <w:bookmarkEnd w:id="5"/>
      <w:bookmarkEnd w:id="6"/>
      <w:bookmarkEnd w:id="7"/>
    </w:p>
    <w:p>
      <w:pPr>
        <w:pStyle w:val="5"/>
        <w:rPr>
          <w:lang w:eastAsia="ko-KR"/>
        </w:rPr>
      </w:pPr>
      <w:bookmarkStart w:id="8" w:name="_Toc153793092"/>
      <w:r>
        <w:rPr>
          <w:lang w:eastAsia="ko-KR"/>
        </w:rPr>
        <w:t>6.1B.2.3</w:t>
      </w:r>
      <w:r>
        <w:rPr>
          <w:lang w:eastAsia="ko-KR"/>
        </w:rPr>
        <w:tab/>
      </w:r>
      <w:r>
        <w:rPr>
          <w:lang w:eastAsia="ko-KR"/>
        </w:rPr>
        <w:t>Prepared analytics subscription transfer</w:t>
      </w:r>
      <w:bookmarkEnd w:id="8"/>
    </w:p>
    <w:p>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pPr>
        <w:pStyle w:val="59"/>
        <w:rPr>
          <w:lang w:eastAsia="ko-KR"/>
        </w:rPr>
      </w:pPr>
      <w:r>
        <w:rPr>
          <w:lang w:eastAsia="ko-KR"/>
        </w:rPr>
        <w:t>NOTE 1:</w:t>
      </w:r>
      <w:r>
        <w:rPr>
          <w:lang w:eastAsia="ko-KR"/>
        </w:rPr>
        <w:tab/>
      </w:r>
      <w:r>
        <w:rPr>
          <w:lang w:eastAsia="ko-KR"/>
        </w:rPr>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pPr>
        <w:pStyle w:val="59"/>
        <w:rPr>
          <w:lang w:eastAsia="ko-KR"/>
        </w:rPr>
      </w:pPr>
      <w:r>
        <w:rPr>
          <w:lang w:eastAsia="ko-KR"/>
        </w:rPr>
        <w:t>NOTE 2:</w:t>
      </w:r>
      <w:r>
        <w:rPr>
          <w:lang w:eastAsia="ko-KR"/>
        </w:rPr>
        <w:tab/>
      </w:r>
      <w:r>
        <w:rPr>
          <w:lang w:eastAsia="ko-KR"/>
        </w:rPr>
        <w:t>The source NWDAF might also determine that it needs to prepare to transfer analytics subscriptions to another NWDAF instance, as the source NWDAF wants to resolve an internal load situation or prepare for a graceful shutdown.</w:t>
      </w:r>
    </w:p>
    <w:p>
      <w:pPr>
        <w:pStyle w:val="59"/>
        <w:rPr>
          <w:lang w:eastAsia="ko-KR"/>
        </w:rPr>
      </w:pPr>
      <w:r>
        <w:rPr>
          <w:lang w:eastAsia="ko-KR"/>
        </w:rPr>
        <w:t>NOTE 3:</w:t>
      </w:r>
      <w:r>
        <w:rPr>
          <w:lang w:eastAsia="ko-KR"/>
        </w:rPr>
        <w:tab/>
      </w:r>
      <w:r>
        <w:rPr>
          <w:lang w:eastAsia="ko-KR"/>
        </w:rPr>
        <w:t>Handling of overload situation or preparation for a graceful shutdown are preferably executed inside an NWDAF Set, when available.</w:t>
      </w:r>
    </w:p>
    <w:p>
      <w:pPr>
        <w:pStyle w:val="58"/>
        <w:rPr>
          <w:lang w:eastAsia="ko-KR"/>
        </w:rPr>
      </w:pPr>
      <w:ins w:id="0" w:author="Yuang(ZTE)" w:date="2024-03-18T15:44:51Z"/>
      <w:ins w:id="1" w:author="Yuang(ZTE)" w:date="2024-03-18T15:44:51Z"/>
      <w:ins w:id="2" w:author="Yuang(ZTE)" w:date="2024-03-18T15:44:51Z"/>
      <w:ins w:id="3" w:author="Yuang(ZTE)" w:date="2024-03-18T15:44:51Z">
        <w:r>
          <w:rPr/>
          <w:object>
            <v:shape id="_x0000_i1025" o:spt="75" type="#_x0000_t75" style="height:469pt;width:469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ins>
      <w:ins w:id="5" w:author="Yuang(ZTE)" w:date="2024-03-18T15:44:51Z"/>
      <w:del w:id="6" w:author="Yuang(ZTE)" w:date="2024-03-18T15:44:51Z"/>
      <w:del w:id="7" w:author="Yuang(ZTE)" w:date="2024-03-18T15:44:51Z"/>
      <w:del w:id="8" w:author="Yuang(ZTE)" w:date="2024-03-18T15:44:51Z"/>
      <w:del w:id="9" w:author="Yuang(ZTE)" w:date="2024-03-18T15:44:51Z">
        <w:r>
          <w:rPr/>
          <w:object>
            <v:shape id="_x0000_i1026" o:spt="75" type="#_x0000_t75" style="height:472.05pt;width:472.0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o:LockedField>false</o:LockedField>
            </o:OLEObject>
          </w:object>
        </w:r>
      </w:del>
      <w:del w:id="11" w:author="Yuang(ZTE)" w:date="2024-03-18T15:44:51Z"/>
    </w:p>
    <w:p>
      <w:pPr>
        <w:pStyle w:val="57"/>
        <w:rPr>
          <w:lang w:eastAsia="ko-KR"/>
        </w:rPr>
      </w:pPr>
      <w:r>
        <w:rPr>
          <w:lang w:eastAsia="ko-KR"/>
        </w:rPr>
        <w:t>Figure 6.1B.2.3-1: Prepared analytics</w:t>
      </w:r>
      <w:ins w:id="12" w:author="Yuang(ZTE)" w:date="2024-03-18T15:11:38Z">
        <w:r>
          <w:rPr>
            <w:rFonts w:hint="eastAsia"/>
            <w:lang w:val="en-US" w:eastAsia="zh-CN"/>
          </w:rPr>
          <w:t xml:space="preserve"> sub</w:t>
        </w:r>
      </w:ins>
      <w:ins w:id="13" w:author="Yuang(ZTE)" w:date="2024-03-18T15:11:39Z">
        <w:r>
          <w:rPr>
            <w:rFonts w:hint="eastAsia"/>
            <w:lang w:val="en-US" w:eastAsia="zh-CN"/>
          </w:rPr>
          <w:t>sc</w:t>
        </w:r>
      </w:ins>
      <w:ins w:id="14" w:author="Yuang(ZTE)" w:date="2024-03-18T15:11:40Z">
        <w:r>
          <w:rPr>
            <w:rFonts w:hint="eastAsia"/>
            <w:lang w:val="en-US" w:eastAsia="zh-CN"/>
          </w:rPr>
          <w:t>ri</w:t>
        </w:r>
      </w:ins>
      <w:ins w:id="15" w:author="Yuang(ZTE)" w:date="2024-03-18T15:11:41Z">
        <w:r>
          <w:rPr>
            <w:rFonts w:hint="eastAsia"/>
            <w:lang w:val="en-US" w:eastAsia="zh-CN"/>
          </w:rPr>
          <w:t>pt</w:t>
        </w:r>
      </w:ins>
      <w:ins w:id="16" w:author="Yuang(ZTE)" w:date="2024-03-18T15:11:42Z">
        <w:r>
          <w:rPr>
            <w:rFonts w:hint="eastAsia"/>
            <w:lang w:val="en-US" w:eastAsia="zh-CN"/>
          </w:rPr>
          <w:t>ion</w:t>
        </w:r>
      </w:ins>
      <w:r>
        <w:rPr>
          <w:lang w:eastAsia="ko-KR"/>
        </w:rPr>
        <w:t xml:space="preserve"> transfer</w:t>
      </w:r>
    </w:p>
    <w:p>
      <w:pPr>
        <w:pStyle w:val="78"/>
        <w:rPr>
          <w:lang w:eastAsia="ko-KR"/>
        </w:rPr>
      </w:pPr>
      <w:r>
        <w:rPr>
          <w:lang w:eastAsia="ko-KR"/>
        </w:rPr>
        <w:t>0.</w:t>
      </w:r>
      <w:r>
        <w:rPr>
          <w:lang w:eastAsia="ko-KR"/>
        </w:rPr>
        <w:tab/>
      </w:r>
      <w:r>
        <w:rPr>
          <w:lang w:eastAsia="ko-KR"/>
        </w:rPr>
        <w:t>Analytics consumer subscribes to the source NWDAF for certain analytics as specified in clause 6.1.1.</w:t>
      </w:r>
    </w:p>
    <w:p>
      <w:pPr>
        <w:pStyle w:val="78"/>
        <w:rPr>
          <w:lang w:eastAsia="ko-KR"/>
        </w:rPr>
      </w:pPr>
      <w:r>
        <w:rPr>
          <w:lang w:eastAsia="ko-KR"/>
        </w:rPr>
        <w:t>0a.</w:t>
      </w:r>
      <w:r>
        <w:rPr>
          <w:lang w:eastAsia="ko-KR"/>
        </w:rPr>
        <w:tab/>
      </w:r>
      <w:r>
        <w:rPr>
          <w:lang w:eastAsia="ko-KR"/>
        </w:rPr>
        <w:t>Source NWDAF starts data collection from relevant data source(s) (e.g. NFs or OAM) as specified in clause 6.2. Source NWDAF starts generating requested analytics.</w:t>
      </w:r>
    </w:p>
    <w:p>
      <w:pPr>
        <w:pStyle w:val="78"/>
        <w:rPr>
          <w:lang w:eastAsia="ko-KR"/>
        </w:rPr>
      </w:pPr>
      <w:r>
        <w:rPr>
          <w:lang w:eastAsia="ko-KR"/>
        </w:rPr>
        <w:t>0b.</w:t>
      </w:r>
      <w:r>
        <w:rPr>
          <w:lang w:eastAsia="ko-KR"/>
        </w:rPr>
        <w:tab/>
      </w:r>
      <w:r>
        <w:rPr>
          <w:lang w:eastAsia="ko-KR"/>
        </w:rPr>
        <w:t>[Conditional] (Only if the source NWDAF does not serve the whole PLMN and the requested analytics involves UE related data) The source NWDAF subscribes, using Namf_EventExposure_Subscribe service operation, to receive notifications on UE mobility events from AMF.</w:t>
      </w:r>
    </w:p>
    <w:p>
      <w:pPr>
        <w:pStyle w:val="78"/>
        <w:rPr>
          <w:lang w:eastAsia="ko-KR"/>
        </w:rPr>
      </w:pPr>
      <w:r>
        <w:rPr>
          <w:lang w:eastAsia="ko-KR"/>
        </w:rPr>
        <w:t>1.</w:t>
      </w:r>
      <w:r>
        <w:rPr>
          <w:lang w:eastAsia="ko-KR"/>
        </w:rPr>
        <w:tab/>
      </w:r>
      <w:r>
        <w:rPr>
          <w:lang w:eastAsia="ko-KR"/>
        </w:rPr>
        <w:t>The source NWDAF determines that it needs to prepare to transfer analytics to another NWDAF instance.</w:t>
      </w:r>
    </w:p>
    <w:p>
      <w:pPr>
        <w:pStyle w:val="78"/>
        <w:rPr>
          <w:lang w:eastAsia="ko-KR"/>
        </w:rPr>
      </w:pPr>
      <w:r>
        <w:rPr>
          <w:lang w:eastAsia="ko-KR"/>
        </w:rPr>
        <w:t>2.</w:t>
      </w:r>
      <w:r>
        <w:rPr>
          <w:lang w:eastAsia="ko-KR"/>
        </w:rPr>
        <w:tab/>
      </w:r>
      <w:r>
        <w:rPr>
          <w:lang w:eastAsia="ko-KR"/>
        </w:rPr>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pPr>
        <w:pStyle w:val="59"/>
        <w:rPr>
          <w:lang w:eastAsia="ko-KR"/>
        </w:rPr>
      </w:pPr>
      <w:r>
        <w:rPr>
          <w:lang w:eastAsia="ko-KR"/>
        </w:rPr>
        <w:t>NOTE 4:</w:t>
      </w:r>
      <w:r>
        <w:rPr>
          <w:lang w:eastAsia="ko-KR"/>
        </w:rPr>
        <w:tab/>
      </w:r>
      <w:r>
        <w:rPr>
          <w:lang w:eastAsia="ko-KR"/>
        </w:rPr>
        <w:t>In this procedure, NWDAFy and NWDAFz are examples for target NWDAF instances that are candidates to take over those analytic subscriptions.</w:t>
      </w:r>
    </w:p>
    <w:p>
      <w:pPr>
        <w:pStyle w:val="78"/>
        <w:rPr>
          <w:lang w:eastAsia="ko-KR"/>
        </w:rPr>
      </w:pPr>
      <w:r>
        <w:rPr>
          <w:lang w:eastAsia="ko-KR"/>
        </w:rPr>
        <w:t>3-4.</w:t>
      </w:r>
      <w:r>
        <w:rPr>
          <w:lang w:eastAsia="ko-KR"/>
        </w:rPr>
        <w:tab/>
      </w:r>
      <w:r>
        <w:rPr>
          <w:lang w:eastAsia="ko-KR"/>
        </w:rPr>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pPr>
        <w:pStyle w:val="78"/>
        <w:rPr>
          <w:lang w:eastAsia="ko-KR"/>
        </w:rPr>
      </w:pPr>
      <w:r>
        <w:rPr>
          <w:lang w:eastAsia="ko-KR"/>
        </w:rPr>
        <w:tab/>
      </w:r>
      <w:r>
        <w:rPr>
          <w:lang w:eastAsia="ko-KR"/>
        </w:rPr>
        <w:t>The candidate target NWDAFs (e.g. NWDAFy and NWDAFz) respond to the request from the source NWDAF using a Nnwdaf_AnalyticsSubscription_Transfer Response message.</w:t>
      </w:r>
    </w:p>
    <w:p>
      <w:pPr>
        <w:pStyle w:val="78"/>
        <w:rPr>
          <w:lang w:eastAsia="ko-KR"/>
        </w:rPr>
      </w:pPr>
      <w:r>
        <w:rPr>
          <w:lang w:eastAsia="ko-KR"/>
        </w:rPr>
        <w:t>5-6.</w:t>
      </w:r>
      <w:r>
        <w:rPr>
          <w:lang w:eastAsia="ko-KR"/>
        </w:rPr>
        <w:tab/>
      </w:r>
      <w:r>
        <w:rPr>
          <w:lang w:eastAsia="ko-KR"/>
        </w:rPr>
        <w:t>[Conditional] If "analytics context identifier(s)" had been included in the Nnwdaf_AnalyticsSubscription_Transfer Request received in step 4, the determined target NWDAFs (e.g. NWDAFy and NWDAFz) may request the "analytics context" from the source NWDAF by invoking the "Nnwdaf_AnalyticsInfo_ContextTransferservice" operation. The analytics context transfer procedure is specified in clause 6.1B.3.</w:t>
      </w:r>
    </w:p>
    <w:p>
      <w:pPr>
        <w:pStyle w:val="59"/>
        <w:rPr>
          <w:lang w:eastAsia="ko-KR"/>
        </w:rPr>
      </w:pPr>
      <w:r>
        <w:rPr>
          <w:lang w:eastAsia="ko-KR"/>
        </w:rPr>
        <w:t>NOTE 5:</w:t>
      </w:r>
      <w:r>
        <w:rPr>
          <w:lang w:eastAsia="ko-KR"/>
        </w:rPr>
        <w:tab/>
      </w:r>
      <w:r>
        <w:rPr>
          <w:lang w:eastAsia="ko-KR"/>
        </w:rPr>
        <w:t>The target NWDAFs (e.g. NWDAFy and NWDAFz) can allocate a new Subscription Correlation ID to the received analytics subscriptions.</w:t>
      </w:r>
    </w:p>
    <w:p>
      <w:pPr>
        <w:pStyle w:val="78"/>
        <w:rPr>
          <w:lang w:eastAsia="ko-KR"/>
        </w:rPr>
      </w:pPr>
      <w:r>
        <w:rPr>
          <w:lang w:eastAsia="ko-KR"/>
        </w:rPr>
        <w:t>7.</w:t>
      </w:r>
      <w:r>
        <w:rPr>
          <w:lang w:eastAsia="ko-KR"/>
        </w:rPr>
        <w:tab/>
      </w:r>
      <w:r>
        <w:rPr>
          <w:lang w:eastAsia="ko-KR"/>
        </w:rPr>
        <w:t>[Optional] Based on the information received from the source NWDAF, the target NWDAFs (e.g. NWDAFy and NWDAFz) start data collection from NFs or OAM (as specified in clause 6.2) and analytics generation for the indicated analytics subscriptions.</w:t>
      </w:r>
    </w:p>
    <w:p>
      <w:pPr>
        <w:pStyle w:val="59"/>
        <w:rPr>
          <w:lang w:eastAsia="ko-KR"/>
        </w:rPr>
      </w:pPr>
      <w:r>
        <w:rPr>
          <w:lang w:eastAsia="ko-KR"/>
        </w:rPr>
        <w:t>NOTE 6:</w:t>
      </w:r>
      <w:r>
        <w:rPr>
          <w:lang w:eastAsia="ko-KR"/>
        </w:rPr>
        <w:tab/>
      </w:r>
      <w:r>
        <w:rPr>
          <w:lang w:eastAsia="ko-KR"/>
        </w:rPr>
        <w:t>After step 7, the source NWDAF initiates the analytics subscription transfer to the target NWDAF as specified in steps 4 to 12 of the analytics subscription transfer procedure illustrated in Figure 6.1B.2.2-1.</w:t>
      </w:r>
    </w:p>
    <w:p>
      <w:pPr>
        <w:pStyle w:val="78"/>
        <w:rPr>
          <w:lang w:eastAsia="ko-KR"/>
        </w:rPr>
      </w:pPr>
      <w:r>
        <w:rPr>
          <w:lang w:eastAsia="ko-KR"/>
        </w:rPr>
        <w:t>8.</w:t>
      </w:r>
      <w:r>
        <w:rPr>
          <w:lang w:eastAsia="ko-KR"/>
        </w:rPr>
        <w:tab/>
      </w:r>
      <w:r>
        <w:rPr>
          <w:lang w:eastAsia="ko-KR"/>
        </w:rPr>
        <w:t>The source NWDAF cancels the prepared analytics subscription transfer to a candidate target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pPr>
        <w:pStyle w:val="78"/>
        <w:rPr>
          <w:lang w:eastAsia="ko-KR"/>
        </w:rPr>
      </w:pPr>
      <w:r>
        <w:rPr>
          <w:lang w:eastAsia="ko-KR"/>
        </w:rPr>
        <w:tab/>
      </w:r>
      <w:r>
        <w:rPr>
          <w:lang w:eastAsia="ko-KR"/>
        </w:rPr>
        <w:t>Step 8 may take place any time after step 4 if the NWDAF determines that the candidate target NWDAF (e.g. NWDAFz)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pPr>
        <w:pStyle w:val="105"/>
        <w:rPr>
          <w:color w:val="FF0000"/>
        </w:rPr>
      </w:pPr>
      <w:r>
        <w:rPr>
          <w:color w:val="FF0000"/>
        </w:rPr>
        <w:t xml:space="preserve">* * * </w:t>
      </w:r>
      <w:r>
        <w:rPr>
          <w:rFonts w:hint="eastAsia"/>
          <w:color w:val="FF0000"/>
          <w:lang w:val="en-US" w:eastAsia="zh-CN"/>
        </w:rPr>
        <w:t xml:space="preserve">End </w:t>
      </w:r>
      <w:r>
        <w:rPr>
          <w:color w:val="FF0000"/>
        </w:rPr>
        <w:t xml:space="preserve">of </w:t>
      </w:r>
      <w:r>
        <w:rPr>
          <w:rFonts w:hint="eastAsia"/>
          <w:color w:val="FF0000"/>
          <w:lang w:val="en-US" w:eastAsia="zh-CN"/>
        </w:rPr>
        <w:t>1</w:t>
      </w:r>
      <w:r>
        <w:rPr>
          <w:rFonts w:hint="eastAsia"/>
          <w:color w:val="FF0000"/>
          <w:vertAlign w:val="superscript"/>
          <w:lang w:val="en-US" w:eastAsia="zh-CN"/>
        </w:rPr>
        <w:t>st</w:t>
      </w:r>
      <w:r>
        <w:rPr>
          <w:rFonts w:hint="eastAsia"/>
          <w:color w:val="FF0000"/>
          <w:lang w:val="en-US" w:eastAsia="zh-CN"/>
        </w:rPr>
        <w:t xml:space="preserve"> </w:t>
      </w:r>
      <w:r>
        <w:rPr>
          <w:color w:val="FF0000"/>
        </w:rPr>
        <w:t xml:space="preserve">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62E438A"/>
    <w:rsid w:val="095C69CB"/>
    <w:rsid w:val="0A135FC9"/>
    <w:rsid w:val="0C1B7D9A"/>
    <w:rsid w:val="14EB5B7C"/>
    <w:rsid w:val="15780BD9"/>
    <w:rsid w:val="16430F63"/>
    <w:rsid w:val="170E595B"/>
    <w:rsid w:val="172F4AE8"/>
    <w:rsid w:val="177D789D"/>
    <w:rsid w:val="19DD5567"/>
    <w:rsid w:val="219C2C10"/>
    <w:rsid w:val="24405DCC"/>
    <w:rsid w:val="251571DE"/>
    <w:rsid w:val="256A500C"/>
    <w:rsid w:val="25EF74B4"/>
    <w:rsid w:val="264A1A72"/>
    <w:rsid w:val="29B61A7F"/>
    <w:rsid w:val="2AB76A66"/>
    <w:rsid w:val="2CBA14E9"/>
    <w:rsid w:val="2D531199"/>
    <w:rsid w:val="2DF17C46"/>
    <w:rsid w:val="2EE66C14"/>
    <w:rsid w:val="2FF8120C"/>
    <w:rsid w:val="39FB5A76"/>
    <w:rsid w:val="3BBC055D"/>
    <w:rsid w:val="3D4105D8"/>
    <w:rsid w:val="3E245B6C"/>
    <w:rsid w:val="444C1EBD"/>
    <w:rsid w:val="478D45A7"/>
    <w:rsid w:val="48071E60"/>
    <w:rsid w:val="48A23FF1"/>
    <w:rsid w:val="4AC82B1C"/>
    <w:rsid w:val="4CBD0DAE"/>
    <w:rsid w:val="4FC20829"/>
    <w:rsid w:val="4FC67DBC"/>
    <w:rsid w:val="5714076C"/>
    <w:rsid w:val="5B690CEB"/>
    <w:rsid w:val="5C5B56C1"/>
    <w:rsid w:val="60CE418E"/>
    <w:rsid w:val="6186302D"/>
    <w:rsid w:val="63B1345B"/>
    <w:rsid w:val="64214C6C"/>
    <w:rsid w:val="653A5BC3"/>
    <w:rsid w:val="656B35B1"/>
    <w:rsid w:val="67C3334F"/>
    <w:rsid w:val="697A0C53"/>
    <w:rsid w:val="6BA850A3"/>
    <w:rsid w:val="70FE28C3"/>
    <w:rsid w:val="72080741"/>
    <w:rsid w:val="725D6E28"/>
    <w:rsid w:val="72E35E7C"/>
    <w:rsid w:val="73366D1B"/>
    <w:rsid w:val="74493115"/>
    <w:rsid w:val="74A1520A"/>
    <w:rsid w:val="757353BF"/>
    <w:rsid w:val="75754346"/>
    <w:rsid w:val="75A776F4"/>
    <w:rsid w:val="7720291C"/>
    <w:rsid w:val="7AF00B47"/>
    <w:rsid w:val="7E9970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6</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2024-03-29T07:47:53Z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58AA869217774023A1B92710D2A77787_13</vt:lpwstr>
  </property>
</Properties>
</file>